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72A9" w14:textId="260E8507" w:rsidR="000C1622" w:rsidRPr="004D6338" w:rsidRDefault="000C1622" w:rsidP="004D6338">
      <w:pPr>
        <w:pStyle w:val="Heading1"/>
        <w:rPr>
          <w:rFonts w:eastAsia="Times New Roman"/>
          <w:lang w:eastAsia="en-IE"/>
        </w:rPr>
      </w:pPr>
      <w:r w:rsidRPr="004D6338">
        <w:rPr>
          <w:rFonts w:eastAsia="Times New Roman"/>
          <w:lang w:eastAsia="en-IE"/>
        </w:rPr>
        <w:t>Number of decisions</w:t>
      </w:r>
    </w:p>
    <w:p w14:paraId="2F507451" w14:textId="4E8B39D5" w:rsidR="000C1622" w:rsidRPr="004D6338" w:rsidRDefault="000C1622" w:rsidP="000C1622">
      <w:pPr>
        <w:shd w:val="clear" w:color="auto" w:fill="FFFFFF"/>
        <w:spacing w:before="150" w:after="0" w:line="240" w:lineRule="auto"/>
        <w:jc w:val="both"/>
        <w:rPr>
          <w:rFonts w:eastAsia="Times New Roman" w:cstheme="minorHAnsi"/>
          <w:lang w:val="en-IE" w:eastAsia="en-IE"/>
        </w:rPr>
      </w:pPr>
      <w:r w:rsidRPr="004D6338">
        <w:rPr>
          <w:rFonts w:eastAsia="Times New Roman" w:cstheme="minorHAnsi"/>
          <w:b/>
          <w:bCs/>
          <w:lang w:val="en-IE" w:eastAsia="en-IE"/>
        </w:rPr>
        <w:t>Austria</w:t>
      </w:r>
      <w:r w:rsidRPr="004D6338">
        <w:rPr>
          <w:rFonts w:eastAsia="Times New Roman" w:cstheme="minorHAnsi"/>
          <w:lang w:val="en-IE" w:eastAsia="en-IE"/>
        </w:rPr>
        <w:t xml:space="preserve"> – </w:t>
      </w:r>
      <w:r w:rsidRPr="004D6338">
        <w:rPr>
          <w:rFonts w:eastAsia="Times New Roman" w:cstheme="minorHAnsi"/>
          <w:lang w:val="en-IE" w:eastAsia="en-IE"/>
        </w:rPr>
        <w:t>N</w:t>
      </w:r>
      <w:r w:rsidRPr="004D6338">
        <w:rPr>
          <w:rFonts w:eastAsia="Times New Roman" w:cstheme="minorHAnsi"/>
          <w:lang w:val="en-IE" w:eastAsia="en-IE"/>
        </w:rPr>
        <w:t>umber of decisions is an estimate.</w:t>
      </w:r>
    </w:p>
    <w:p w14:paraId="3C8B26BC" w14:textId="42CE92A3" w:rsidR="000C1622" w:rsidRPr="004D6338" w:rsidRDefault="000C1622" w:rsidP="000C1622">
      <w:pPr>
        <w:shd w:val="clear" w:color="auto" w:fill="FFFFFF"/>
        <w:spacing w:before="150" w:after="0" w:line="240" w:lineRule="auto"/>
        <w:jc w:val="both"/>
        <w:rPr>
          <w:rFonts w:eastAsia="Times New Roman" w:cstheme="minorHAnsi"/>
          <w:lang w:val="en-IE" w:eastAsia="en-IE"/>
        </w:rPr>
      </w:pPr>
      <w:r w:rsidRPr="004D6338">
        <w:rPr>
          <w:rFonts w:eastAsia="Times New Roman" w:cstheme="minorHAnsi"/>
          <w:b/>
          <w:bCs/>
          <w:lang w:val="en-IE" w:eastAsia="en-IE"/>
        </w:rPr>
        <w:t>Belgium</w:t>
      </w:r>
      <w:r w:rsidRPr="004D6338">
        <w:rPr>
          <w:rFonts w:eastAsia="Times New Roman" w:cstheme="minorHAnsi"/>
          <w:lang w:val="en-IE" w:eastAsia="en-IE"/>
        </w:rPr>
        <w:t xml:space="preserve"> – The number of decisions covers only the judgments of the Belgian Council of State </w:t>
      </w:r>
      <w:r w:rsidRPr="004D6338">
        <w:rPr>
          <w:rFonts w:eastAsia="Times New Roman" w:cstheme="minorHAnsi"/>
          <w:lang w:val="en-IE" w:eastAsia="en-IE"/>
        </w:rPr>
        <w:t>that</w:t>
      </w:r>
      <w:r w:rsidRPr="004D6338">
        <w:rPr>
          <w:rFonts w:eastAsia="Times New Roman" w:cstheme="minorHAnsi"/>
          <w:lang w:val="en-IE" w:eastAsia="en-IE"/>
        </w:rPr>
        <w:t xml:space="preserve"> reviews the public procurement decisions of administrative authorities. The public procurement decisions of contracting authorities that are not administrative </w:t>
      </w:r>
      <w:r w:rsidRPr="004D6338">
        <w:rPr>
          <w:rFonts w:eastAsia="Times New Roman" w:cstheme="minorHAnsi"/>
          <w:lang w:val="en-IE" w:eastAsia="en-IE"/>
        </w:rPr>
        <w:t xml:space="preserve">authorities </w:t>
      </w:r>
      <w:r w:rsidRPr="004D6338">
        <w:rPr>
          <w:rFonts w:eastAsia="Times New Roman" w:cstheme="minorHAnsi"/>
          <w:lang w:val="en-IE" w:eastAsia="en-IE"/>
        </w:rPr>
        <w:t>are reviewed by the ordinary courts</w:t>
      </w:r>
      <w:r w:rsidRPr="004D6338">
        <w:rPr>
          <w:rFonts w:eastAsia="Times New Roman" w:cstheme="minorHAnsi"/>
          <w:lang w:val="en-IE" w:eastAsia="en-IE"/>
        </w:rPr>
        <w:t xml:space="preserve"> and are not covered</w:t>
      </w:r>
      <w:r w:rsidRPr="004D6338">
        <w:rPr>
          <w:rFonts w:eastAsia="Times New Roman" w:cstheme="minorHAnsi"/>
          <w:lang w:val="en-IE" w:eastAsia="en-IE"/>
        </w:rPr>
        <w:t xml:space="preserve">. The </w:t>
      </w:r>
      <w:r w:rsidRPr="004D6338">
        <w:rPr>
          <w:rFonts w:eastAsia="Times New Roman" w:cstheme="minorHAnsi"/>
          <w:lang w:val="en-IE" w:eastAsia="en-IE"/>
        </w:rPr>
        <w:t>number</w:t>
      </w:r>
      <w:r w:rsidRPr="004D6338">
        <w:rPr>
          <w:rFonts w:eastAsia="Times New Roman" w:cstheme="minorHAnsi"/>
          <w:lang w:val="en-IE" w:eastAsia="en-IE"/>
        </w:rPr>
        <w:t xml:space="preserve"> covers the review of public contracts both above and below the EU thresholds.</w:t>
      </w:r>
    </w:p>
    <w:p w14:paraId="4159D5EF" w14:textId="77777777" w:rsidR="000C1622" w:rsidRPr="004D6338" w:rsidRDefault="000C1622" w:rsidP="000C1622">
      <w:pPr>
        <w:shd w:val="clear" w:color="auto" w:fill="FFFFFF"/>
        <w:spacing w:before="150" w:after="0" w:line="240" w:lineRule="auto"/>
        <w:jc w:val="both"/>
        <w:rPr>
          <w:rFonts w:eastAsia="Times New Roman" w:cstheme="minorHAnsi"/>
          <w:lang w:val="en-IE" w:eastAsia="en-IE"/>
        </w:rPr>
      </w:pPr>
      <w:r w:rsidRPr="004D6338">
        <w:rPr>
          <w:rFonts w:eastAsia="Times New Roman" w:cstheme="minorHAnsi"/>
          <w:b/>
          <w:bCs/>
          <w:lang w:val="en-IE" w:eastAsia="en-IE"/>
        </w:rPr>
        <w:t>Bulgaria</w:t>
      </w:r>
      <w:r w:rsidRPr="004D6338">
        <w:rPr>
          <w:rFonts w:eastAsia="Times New Roman" w:cstheme="minorHAnsi"/>
          <w:lang w:val="en-IE" w:eastAsia="en-IE"/>
        </w:rPr>
        <w:t> – The number of decisions covers the review of public contracts both above and below the EU thresholds.</w:t>
      </w:r>
    </w:p>
    <w:p w14:paraId="2E711149" w14:textId="77777777" w:rsidR="000C1622" w:rsidRPr="004D6338" w:rsidRDefault="000C1622" w:rsidP="000C1622">
      <w:pPr>
        <w:shd w:val="clear" w:color="auto" w:fill="FFFFFF"/>
        <w:spacing w:before="150" w:after="0" w:line="240" w:lineRule="auto"/>
        <w:jc w:val="both"/>
        <w:rPr>
          <w:rFonts w:eastAsia="Times New Roman" w:cstheme="minorHAnsi"/>
          <w:lang w:val="en-IE" w:eastAsia="en-IE"/>
        </w:rPr>
      </w:pPr>
      <w:r w:rsidRPr="004D6338">
        <w:rPr>
          <w:rFonts w:eastAsia="Times New Roman" w:cstheme="minorHAnsi"/>
          <w:b/>
          <w:bCs/>
          <w:lang w:val="en-IE" w:eastAsia="en-IE"/>
        </w:rPr>
        <w:t>Denmark</w:t>
      </w:r>
      <w:r w:rsidRPr="004D6338">
        <w:rPr>
          <w:rFonts w:eastAsia="Times New Roman" w:cstheme="minorHAnsi"/>
          <w:lang w:val="en-IE" w:eastAsia="en-IE"/>
        </w:rPr>
        <w:t> – The number of decisions covers cases adjudicated on the merits, decisions on rejection of ineligible complaints and decisions on interim measures (suspensive effect) containing an assessment of the case, which led to the withdrawal of the complaint before the review body’s final decision was made.</w:t>
      </w:r>
    </w:p>
    <w:p w14:paraId="42B0E0BB" w14:textId="77777777" w:rsidR="000C1622" w:rsidRPr="004D6338" w:rsidRDefault="000C1622" w:rsidP="000C1622">
      <w:pPr>
        <w:shd w:val="clear" w:color="auto" w:fill="FFFFFF"/>
        <w:spacing w:before="150" w:after="0" w:line="240" w:lineRule="auto"/>
        <w:jc w:val="both"/>
        <w:rPr>
          <w:rFonts w:eastAsia="Times New Roman" w:cstheme="minorHAnsi"/>
          <w:lang w:val="en-IE" w:eastAsia="en-IE"/>
        </w:rPr>
      </w:pPr>
      <w:r w:rsidRPr="004D6338">
        <w:rPr>
          <w:rFonts w:eastAsia="Times New Roman" w:cstheme="minorHAnsi"/>
          <w:b/>
          <w:bCs/>
          <w:lang w:val="en-IE" w:eastAsia="en-IE"/>
        </w:rPr>
        <w:t xml:space="preserve">France </w:t>
      </w:r>
      <w:r w:rsidRPr="004D6338">
        <w:rPr>
          <w:rFonts w:eastAsia="Times New Roman" w:cstheme="minorHAnsi"/>
          <w:lang w:val="en-IE" w:eastAsia="en-IE"/>
        </w:rPr>
        <w:t>– The number of decisions covers the review of public contracts both above and below the EU thresholds.</w:t>
      </w:r>
    </w:p>
    <w:p w14:paraId="16AA3D27" w14:textId="77777777" w:rsidR="000C1622" w:rsidRDefault="000C1622" w:rsidP="000C1622">
      <w:pPr>
        <w:shd w:val="clear" w:color="auto" w:fill="FFFFFF"/>
        <w:spacing w:before="150" w:after="0" w:line="240" w:lineRule="auto"/>
        <w:jc w:val="both"/>
        <w:rPr>
          <w:rFonts w:eastAsia="Times New Roman" w:cstheme="minorHAnsi"/>
          <w:lang w:val="en-IE" w:eastAsia="en-IE"/>
        </w:rPr>
      </w:pPr>
      <w:r w:rsidRPr="004D6338">
        <w:rPr>
          <w:rFonts w:eastAsia="Times New Roman" w:cstheme="minorHAnsi"/>
          <w:b/>
          <w:bCs/>
          <w:lang w:val="en-IE" w:eastAsia="en-IE"/>
        </w:rPr>
        <w:t>Germany</w:t>
      </w:r>
      <w:r w:rsidRPr="004D6338">
        <w:rPr>
          <w:rFonts w:eastAsia="Times New Roman" w:cstheme="minorHAnsi"/>
          <w:lang w:val="en-IE" w:eastAsia="en-IE"/>
        </w:rPr>
        <w:t> – The number of decisions covers only decisions on merits and no other type of proceedings or closure.</w:t>
      </w:r>
    </w:p>
    <w:p w14:paraId="003C3937" w14:textId="781B9854" w:rsidR="00421427" w:rsidRPr="00421427" w:rsidRDefault="00421427" w:rsidP="000C1622">
      <w:pPr>
        <w:shd w:val="clear" w:color="auto" w:fill="FFFFFF"/>
        <w:spacing w:before="150" w:after="0" w:line="240" w:lineRule="auto"/>
        <w:jc w:val="both"/>
        <w:rPr>
          <w:rFonts w:eastAsia="Times New Roman" w:cstheme="minorHAnsi"/>
          <w:lang w:val="en-IE" w:eastAsia="en-IE"/>
        </w:rPr>
      </w:pPr>
      <w:r>
        <w:rPr>
          <w:rFonts w:eastAsia="Times New Roman" w:cstheme="minorHAnsi"/>
          <w:b/>
          <w:bCs/>
          <w:lang w:val="en-IE" w:eastAsia="en-IE"/>
        </w:rPr>
        <w:t>Slovakia</w:t>
      </w:r>
      <w:r>
        <w:rPr>
          <w:rFonts w:eastAsia="Times New Roman" w:cstheme="minorHAnsi"/>
          <w:lang w:val="en-IE" w:eastAsia="en-IE"/>
        </w:rPr>
        <w:t xml:space="preserve"> – The number of decisions does not cover the decisions on contract ineffectiveness.</w:t>
      </w:r>
    </w:p>
    <w:p w14:paraId="502FCE6D" w14:textId="77777777" w:rsidR="00F03226" w:rsidRPr="004D6338" w:rsidRDefault="00F03226" w:rsidP="000C1622">
      <w:pPr>
        <w:rPr>
          <w:lang w:val="en-IE"/>
        </w:rPr>
      </w:pPr>
    </w:p>
    <w:sectPr w:rsidR="00F03226" w:rsidRPr="004D63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22"/>
    <w:rsid w:val="000C1622"/>
    <w:rsid w:val="00421427"/>
    <w:rsid w:val="004D6338"/>
    <w:rsid w:val="00761745"/>
    <w:rsid w:val="00914DB7"/>
    <w:rsid w:val="00D1014D"/>
    <w:rsid w:val="00F03226"/>
    <w:rsid w:val="00F166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A641"/>
  <w15:chartTrackingRefBased/>
  <w15:docId w15:val="{AD9A816A-2274-4BF0-A18C-A8220896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622"/>
    <w:rPr>
      <w:kern w:val="0"/>
      <w:lang w:val="en-GB"/>
      <w14:ligatures w14:val="none"/>
    </w:rPr>
  </w:style>
  <w:style w:type="paragraph" w:styleId="Heading1">
    <w:name w:val="heading 1"/>
    <w:basedOn w:val="Normal"/>
    <w:next w:val="Normal"/>
    <w:link w:val="Heading1Char"/>
    <w:uiPriority w:val="9"/>
    <w:qFormat/>
    <w:rsid w:val="000C162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0C162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0C1622"/>
    <w:pPr>
      <w:keepNext/>
      <w:keepLines/>
      <w:spacing w:before="160" w:after="80"/>
      <w:outlineLvl w:val="2"/>
    </w:pPr>
    <w:rPr>
      <w:rFonts w:eastAsiaTheme="majorEastAsia"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0C1622"/>
    <w:pPr>
      <w:keepNext/>
      <w:keepLines/>
      <w:spacing w:before="80" w:after="40"/>
      <w:outlineLvl w:val="3"/>
    </w:pPr>
    <w:rPr>
      <w:rFonts w:eastAsiaTheme="majorEastAsia" w:cstheme="majorBidi"/>
      <w:i/>
      <w:iCs/>
      <w:color w:val="0F4761" w:themeColor="accent1" w:themeShade="BF"/>
      <w:kern w:val="2"/>
      <w:lang w:val="en-IE"/>
      <w14:ligatures w14:val="standardContextual"/>
    </w:rPr>
  </w:style>
  <w:style w:type="paragraph" w:styleId="Heading5">
    <w:name w:val="heading 5"/>
    <w:basedOn w:val="Normal"/>
    <w:next w:val="Normal"/>
    <w:link w:val="Heading5Char"/>
    <w:uiPriority w:val="9"/>
    <w:semiHidden/>
    <w:unhideWhenUsed/>
    <w:qFormat/>
    <w:rsid w:val="000C1622"/>
    <w:pPr>
      <w:keepNext/>
      <w:keepLines/>
      <w:spacing w:before="80" w:after="40"/>
      <w:outlineLvl w:val="4"/>
    </w:pPr>
    <w:rPr>
      <w:rFonts w:eastAsiaTheme="majorEastAsia" w:cstheme="majorBidi"/>
      <w:color w:val="0F4761" w:themeColor="accent1" w:themeShade="BF"/>
      <w:kern w:val="2"/>
      <w:lang w:val="en-IE"/>
      <w14:ligatures w14:val="standardContextual"/>
    </w:rPr>
  </w:style>
  <w:style w:type="paragraph" w:styleId="Heading6">
    <w:name w:val="heading 6"/>
    <w:basedOn w:val="Normal"/>
    <w:next w:val="Normal"/>
    <w:link w:val="Heading6Char"/>
    <w:uiPriority w:val="9"/>
    <w:semiHidden/>
    <w:unhideWhenUsed/>
    <w:qFormat/>
    <w:rsid w:val="000C1622"/>
    <w:pPr>
      <w:keepNext/>
      <w:keepLines/>
      <w:spacing w:before="40" w:after="0"/>
      <w:outlineLvl w:val="5"/>
    </w:pPr>
    <w:rPr>
      <w:rFonts w:eastAsiaTheme="majorEastAsia" w:cstheme="majorBidi"/>
      <w:i/>
      <w:iCs/>
      <w:color w:val="595959" w:themeColor="text1" w:themeTint="A6"/>
      <w:kern w:val="2"/>
      <w:lang w:val="en-IE"/>
      <w14:ligatures w14:val="standardContextual"/>
    </w:rPr>
  </w:style>
  <w:style w:type="paragraph" w:styleId="Heading7">
    <w:name w:val="heading 7"/>
    <w:basedOn w:val="Normal"/>
    <w:next w:val="Normal"/>
    <w:link w:val="Heading7Char"/>
    <w:uiPriority w:val="9"/>
    <w:semiHidden/>
    <w:unhideWhenUsed/>
    <w:qFormat/>
    <w:rsid w:val="000C1622"/>
    <w:pPr>
      <w:keepNext/>
      <w:keepLines/>
      <w:spacing w:before="40" w:after="0"/>
      <w:outlineLvl w:val="6"/>
    </w:pPr>
    <w:rPr>
      <w:rFonts w:eastAsiaTheme="majorEastAsia" w:cstheme="majorBidi"/>
      <w:color w:val="595959" w:themeColor="text1" w:themeTint="A6"/>
      <w:kern w:val="2"/>
      <w:lang w:val="en-IE"/>
      <w14:ligatures w14:val="standardContextual"/>
    </w:rPr>
  </w:style>
  <w:style w:type="paragraph" w:styleId="Heading8">
    <w:name w:val="heading 8"/>
    <w:basedOn w:val="Normal"/>
    <w:next w:val="Normal"/>
    <w:link w:val="Heading8Char"/>
    <w:uiPriority w:val="9"/>
    <w:semiHidden/>
    <w:unhideWhenUsed/>
    <w:qFormat/>
    <w:rsid w:val="000C1622"/>
    <w:pPr>
      <w:keepNext/>
      <w:keepLines/>
      <w:spacing w:after="0"/>
      <w:outlineLvl w:val="7"/>
    </w:pPr>
    <w:rPr>
      <w:rFonts w:eastAsiaTheme="majorEastAsia" w:cstheme="majorBidi"/>
      <w:i/>
      <w:iCs/>
      <w:color w:val="272727" w:themeColor="text1" w:themeTint="D8"/>
      <w:kern w:val="2"/>
      <w:lang w:val="en-IE"/>
      <w14:ligatures w14:val="standardContextual"/>
    </w:rPr>
  </w:style>
  <w:style w:type="paragraph" w:styleId="Heading9">
    <w:name w:val="heading 9"/>
    <w:basedOn w:val="Normal"/>
    <w:next w:val="Normal"/>
    <w:link w:val="Heading9Char"/>
    <w:uiPriority w:val="9"/>
    <w:semiHidden/>
    <w:unhideWhenUsed/>
    <w:qFormat/>
    <w:rsid w:val="000C1622"/>
    <w:pPr>
      <w:keepNext/>
      <w:keepLines/>
      <w:spacing w:after="0"/>
      <w:outlineLvl w:val="8"/>
    </w:pPr>
    <w:rPr>
      <w:rFonts w:eastAsiaTheme="majorEastAsia" w:cstheme="majorBidi"/>
      <w:color w:val="272727" w:themeColor="text1" w:themeTint="D8"/>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622"/>
    <w:rPr>
      <w:rFonts w:eastAsiaTheme="majorEastAsia" w:cstheme="majorBidi"/>
      <w:color w:val="272727" w:themeColor="text1" w:themeTint="D8"/>
    </w:rPr>
  </w:style>
  <w:style w:type="paragraph" w:styleId="Title">
    <w:name w:val="Title"/>
    <w:basedOn w:val="Normal"/>
    <w:next w:val="Normal"/>
    <w:link w:val="TitleChar"/>
    <w:uiPriority w:val="10"/>
    <w:qFormat/>
    <w:rsid w:val="000C1622"/>
    <w:pPr>
      <w:spacing w:after="80" w:line="240" w:lineRule="auto"/>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0C1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622"/>
    <w:pPr>
      <w:numPr>
        <w:ilvl w:val="1"/>
      </w:numPr>
    </w:pPr>
    <w:rPr>
      <w:rFonts w:eastAsiaTheme="majorEastAsia"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0C1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622"/>
    <w:pPr>
      <w:spacing w:before="160"/>
      <w:jc w:val="center"/>
    </w:pPr>
    <w:rPr>
      <w:i/>
      <w:iCs/>
      <w:color w:val="404040" w:themeColor="text1" w:themeTint="BF"/>
      <w:kern w:val="2"/>
      <w:lang w:val="en-IE"/>
      <w14:ligatures w14:val="standardContextual"/>
    </w:rPr>
  </w:style>
  <w:style w:type="character" w:customStyle="1" w:styleId="QuoteChar">
    <w:name w:val="Quote Char"/>
    <w:basedOn w:val="DefaultParagraphFont"/>
    <w:link w:val="Quote"/>
    <w:uiPriority w:val="29"/>
    <w:rsid w:val="000C1622"/>
    <w:rPr>
      <w:i/>
      <w:iCs/>
      <w:color w:val="404040" w:themeColor="text1" w:themeTint="BF"/>
    </w:rPr>
  </w:style>
  <w:style w:type="paragraph" w:styleId="ListParagraph">
    <w:name w:val="List Paragraph"/>
    <w:basedOn w:val="Normal"/>
    <w:uiPriority w:val="34"/>
    <w:qFormat/>
    <w:rsid w:val="000C1622"/>
    <w:pPr>
      <w:ind w:left="720"/>
      <w:contextualSpacing/>
    </w:pPr>
    <w:rPr>
      <w:kern w:val="2"/>
      <w:lang w:val="en-IE"/>
      <w14:ligatures w14:val="standardContextual"/>
    </w:rPr>
  </w:style>
  <w:style w:type="character" w:styleId="IntenseEmphasis">
    <w:name w:val="Intense Emphasis"/>
    <w:basedOn w:val="DefaultParagraphFont"/>
    <w:uiPriority w:val="21"/>
    <w:qFormat/>
    <w:rsid w:val="000C1622"/>
    <w:rPr>
      <w:i/>
      <w:iCs/>
      <w:color w:val="0F4761" w:themeColor="accent1" w:themeShade="BF"/>
    </w:rPr>
  </w:style>
  <w:style w:type="paragraph" w:styleId="IntenseQuote">
    <w:name w:val="Intense Quote"/>
    <w:basedOn w:val="Normal"/>
    <w:next w:val="Normal"/>
    <w:link w:val="IntenseQuoteChar"/>
    <w:uiPriority w:val="30"/>
    <w:qFormat/>
    <w:rsid w:val="000C1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IE"/>
      <w14:ligatures w14:val="standardContextual"/>
    </w:rPr>
  </w:style>
  <w:style w:type="character" w:customStyle="1" w:styleId="IntenseQuoteChar">
    <w:name w:val="Intense Quote Char"/>
    <w:basedOn w:val="DefaultParagraphFont"/>
    <w:link w:val="IntenseQuote"/>
    <w:uiPriority w:val="30"/>
    <w:rsid w:val="000C1622"/>
    <w:rPr>
      <w:i/>
      <w:iCs/>
      <w:color w:val="0F4761" w:themeColor="accent1" w:themeShade="BF"/>
    </w:rPr>
  </w:style>
  <w:style w:type="character" w:styleId="IntenseReference">
    <w:name w:val="Intense Reference"/>
    <w:basedOn w:val="DefaultParagraphFont"/>
    <w:uiPriority w:val="32"/>
    <w:qFormat/>
    <w:rsid w:val="000C1622"/>
    <w:rPr>
      <w:b/>
      <w:bCs/>
      <w:smallCaps/>
      <w:color w:val="0F4761" w:themeColor="accent1" w:themeShade="BF"/>
      <w:spacing w:val="5"/>
    </w:rPr>
  </w:style>
  <w:style w:type="table" w:styleId="TableGrid">
    <w:name w:val="Table Grid"/>
    <w:basedOn w:val="TableNormal"/>
    <w:uiPriority w:val="39"/>
    <w:rsid w:val="000C1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331</Words>
  <Characters>888</Characters>
  <Application>Microsoft Office Word</Application>
  <DocSecurity>0</DocSecurity>
  <Lines>444</Lines>
  <Paragraphs>406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FRICOVA Vitezslava (GROW)</dc:creator>
  <cp:keywords/>
  <dc:description/>
  <cp:lastModifiedBy>FRICOVA Vitezslava (GROW)</cp:lastModifiedBy>
  <cp:revision>3</cp:revision>
  <dcterms:created xsi:type="dcterms:W3CDTF">2025-11-30T20:11:00Z</dcterms:created>
  <dcterms:modified xsi:type="dcterms:W3CDTF">2025-11-30T21:39:00Z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2025-11-30T20:19:26Z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85ba2c0f-504e-4f9a-8936-b58fe148f098</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